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4AE1" w14:textId="77777777" w:rsidR="00754EB8" w:rsidRDefault="00754EB8">
      <w:pPr>
        <w:jc w:val="center"/>
        <w:rPr>
          <w:rFonts w:ascii="Cambria" w:eastAsia="Cambria" w:hAnsi="Cambria" w:cs="Cambria"/>
          <w:b/>
          <w:bCs/>
          <w:sz w:val="32"/>
          <w:szCs w:val="32"/>
        </w:rPr>
      </w:pPr>
    </w:p>
    <w:p w14:paraId="732E6B68" w14:textId="77777777" w:rsidR="00754EB8" w:rsidRDefault="008E4059">
      <w:pPr>
        <w:jc w:val="center"/>
        <w:rPr>
          <w:sz w:val="32"/>
          <w:szCs w:val="32"/>
        </w:rPr>
      </w:pPr>
      <w:r>
        <w:rPr>
          <w:rFonts w:ascii="Cambria" w:eastAsia="Cambria" w:hAnsi="Cambria" w:cs="Cambria"/>
          <w:b/>
          <w:bCs/>
          <w:sz w:val="32"/>
          <w:szCs w:val="32"/>
        </w:rPr>
        <w:t>Frequently Asked Questions: Parents &amp; Other Stakeholders</w:t>
      </w:r>
    </w:p>
    <w:p w14:paraId="56DB7488" w14:textId="77777777" w:rsidR="00754EB8" w:rsidRDefault="00754EB8">
      <w:pPr>
        <w:jc w:val="center"/>
        <w:rPr>
          <w:rFonts w:ascii="Cambria" w:eastAsia="Cambria" w:hAnsi="Cambria" w:cs="Cambria"/>
          <w:sz w:val="32"/>
          <w:szCs w:val="32"/>
        </w:rPr>
      </w:pPr>
    </w:p>
    <w:p w14:paraId="3C127A12" w14:textId="2CC7BC04" w:rsidR="00754EB8" w:rsidRDefault="008E4059">
      <w:pPr>
        <w:numPr>
          <w:ilvl w:val="0"/>
          <w:numId w:val="1"/>
        </w:numPr>
        <w:pBdr>
          <w:left w:val="none" w:sz="0" w:space="3" w:color="auto"/>
        </w:pBdr>
        <w:spacing w:before="120"/>
        <w:ind w:hanging="342"/>
        <w:rPr>
          <w:rFonts w:ascii="Cambria" w:eastAsia="Cambria" w:hAnsi="Cambria" w:cs="Cambria"/>
          <w:b/>
          <w:bCs/>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When will the survey be given to students?</w:t>
      </w:r>
      <w:r>
        <w:rPr>
          <w:rFonts w:ascii="Cambria" w:eastAsia="Cambria" w:hAnsi="Cambria" w:cs="Cambria"/>
          <w:b/>
          <w:bCs/>
          <w:sz w:val="22"/>
          <w:szCs w:val="22"/>
        </w:rPr>
        <w:br/>
        <w:t>A:</w:t>
      </w:r>
      <w:r>
        <w:rPr>
          <w:rFonts w:ascii="Cambria" w:eastAsia="Cambria" w:hAnsi="Cambria" w:cs="Cambria"/>
          <w:sz w:val="22"/>
          <w:szCs w:val="22"/>
        </w:rPr>
        <w:t xml:space="preserve"> The survey administration window will be open from </w:t>
      </w:r>
      <w:r>
        <w:rPr>
          <w:rFonts w:ascii="Cambria" w:eastAsia="Cambria" w:hAnsi="Cambria" w:cs="Cambria"/>
          <w:b/>
          <w:bCs/>
          <w:sz w:val="22"/>
          <w:szCs w:val="22"/>
        </w:rPr>
        <w:t>February 1</w:t>
      </w:r>
      <w:r w:rsidR="009A7574">
        <w:rPr>
          <w:rFonts w:ascii="Cambria" w:eastAsia="Cambria" w:hAnsi="Cambria" w:cs="Cambria"/>
          <w:b/>
          <w:bCs/>
          <w:sz w:val="22"/>
          <w:szCs w:val="22"/>
        </w:rPr>
        <w:t>5</w:t>
      </w:r>
      <w:r>
        <w:rPr>
          <w:rFonts w:ascii="Cambria" w:eastAsia="Cambria" w:hAnsi="Cambria" w:cs="Cambria"/>
          <w:b/>
          <w:bCs/>
          <w:sz w:val="22"/>
          <w:szCs w:val="22"/>
        </w:rPr>
        <w:t xml:space="preserve"> through </w:t>
      </w:r>
      <w:r w:rsidR="009A7574">
        <w:rPr>
          <w:rFonts w:ascii="Cambria" w:eastAsia="Cambria" w:hAnsi="Cambria" w:cs="Cambria"/>
          <w:b/>
          <w:bCs/>
          <w:sz w:val="22"/>
          <w:szCs w:val="22"/>
        </w:rPr>
        <w:t>March 31</w:t>
      </w:r>
      <w:r>
        <w:rPr>
          <w:rFonts w:ascii="Cambria" w:eastAsia="Cambria" w:hAnsi="Cambria" w:cs="Cambria"/>
          <w:b/>
          <w:bCs/>
          <w:sz w:val="22"/>
          <w:szCs w:val="22"/>
        </w:rPr>
        <w:t>, 202</w:t>
      </w:r>
      <w:r w:rsidR="009A7574">
        <w:rPr>
          <w:rFonts w:ascii="Cambria" w:eastAsia="Cambria" w:hAnsi="Cambria" w:cs="Cambria"/>
          <w:b/>
          <w:bCs/>
          <w:sz w:val="22"/>
          <w:szCs w:val="22"/>
        </w:rPr>
        <w:t>3</w:t>
      </w:r>
      <w:r>
        <w:rPr>
          <w:rFonts w:ascii="Cambria" w:eastAsia="Cambria" w:hAnsi="Cambria" w:cs="Cambria"/>
          <w:sz w:val="22"/>
          <w:szCs w:val="22"/>
        </w:rPr>
        <w:t>. Each district will determine the best time to administer the survey to their students during this time period.</w:t>
      </w:r>
    </w:p>
    <w:p w14:paraId="2BE1D743" w14:textId="77777777" w:rsidR="00754EB8" w:rsidRDefault="00754EB8">
      <w:pPr>
        <w:ind w:left="360"/>
        <w:rPr>
          <w:rFonts w:ascii="Cambria" w:eastAsia="Cambria" w:hAnsi="Cambria" w:cs="Cambria"/>
          <w:sz w:val="22"/>
          <w:szCs w:val="22"/>
        </w:rPr>
      </w:pPr>
    </w:p>
    <w:p w14:paraId="120BED33" w14:textId="77777777" w:rsidR="00754EB8" w:rsidRDefault="008E4059">
      <w:pPr>
        <w:numPr>
          <w:ilvl w:val="0"/>
          <w:numId w:val="2"/>
        </w:numPr>
        <w:pBdr>
          <w:left w:val="none" w:sz="0" w:space="3" w:color="auto"/>
        </w:pBdr>
        <w:ind w:hanging="342"/>
        <w:rPr>
          <w:rFonts w:ascii="Cambria" w:eastAsia="Cambria" w:hAnsi="Cambria" w:cs="Cambria"/>
          <w:b/>
          <w:bCs/>
        </w:rPr>
      </w:pPr>
      <w:r>
        <w:rPr>
          <w:rFonts w:ascii="Cambria" w:eastAsia="Cambria" w:hAnsi="Cambria" w:cs="Cambria"/>
          <w:b/>
          <w:bCs/>
          <w:sz w:val="22"/>
          <w:szCs w:val="22"/>
        </w:rPr>
        <w:t>Q:</w:t>
      </w:r>
      <w:bookmarkStart w:id="0" w:name="_Hlk535825929"/>
      <w:r>
        <w:rPr>
          <w:rFonts w:ascii="Cambria" w:eastAsia="Cambria" w:hAnsi="Cambria" w:cs="Cambria"/>
          <w:b/>
          <w:bCs/>
          <w:sz w:val="22"/>
          <w:szCs w:val="22"/>
        </w:rPr>
        <w:t xml:space="preserve"> What is the purpose of the student engagement survey?</w:t>
      </w:r>
    </w:p>
    <w:p w14:paraId="6E97786B" w14:textId="77777777" w:rsidR="00754EB8" w:rsidRDefault="008E4059">
      <w:pPr>
        <w:spacing w:after="200"/>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Idaho State Department of Education (ISDE) is determined to provide schools and districts with information that supports teaching and learning.  The Cognia Student Engagement Survey collects direct feedback from students regarding their learning experiences and the results help leaders and teachers understand what students need to be successful. </w:t>
      </w:r>
    </w:p>
    <w:p w14:paraId="7323F6E8" w14:textId="7BB8E45A" w:rsidR="00754EB8" w:rsidRDefault="008E4059">
      <w:pPr>
        <w:ind w:left="720"/>
      </w:pPr>
      <w:r>
        <w:rPr>
          <w:rFonts w:ascii="Cambria" w:eastAsia="Cambria" w:hAnsi="Cambria" w:cs="Cambria"/>
          <w:sz w:val="22"/>
          <w:szCs w:val="22"/>
        </w:rPr>
        <w:t xml:space="preserve">The ISDE also uses the student engagement survey in school accountability by reporting the results for all schools on IdahoSchools.org and using the measure as a “School Quality and Success Indicator’ for K-8 schools. Learn more about how Idaho calculates and reports student engagement for accountability at </w:t>
      </w:r>
      <w:hyperlink r:id="rId7" w:history="1">
        <w:r w:rsidR="001A2A21" w:rsidRPr="00F94CA3">
          <w:rPr>
            <w:rStyle w:val="Hyperlink"/>
          </w:rPr>
          <w:t>https://www.sde.idaho.gov/assessment/accountability/</w:t>
        </w:r>
      </w:hyperlink>
      <w:r w:rsidR="001A2A21">
        <w:t xml:space="preserve">. </w:t>
      </w:r>
    </w:p>
    <w:p w14:paraId="7F1D3DCA" w14:textId="77777777" w:rsidR="001A2A21" w:rsidRDefault="001A2A21">
      <w:pPr>
        <w:ind w:left="720"/>
        <w:rPr>
          <w:rFonts w:ascii="Cambria" w:eastAsia="Cambria" w:hAnsi="Cambria" w:cs="Cambria"/>
          <w:sz w:val="22"/>
          <w:szCs w:val="22"/>
        </w:rPr>
      </w:pPr>
    </w:p>
    <w:bookmarkEnd w:id="0"/>
    <w:p w14:paraId="45C41C90" w14:textId="77777777" w:rsidR="00754EB8" w:rsidRDefault="008E4059">
      <w:pPr>
        <w:numPr>
          <w:ilvl w:val="0"/>
          <w:numId w:val="3"/>
        </w:numPr>
        <w:pBdr>
          <w:left w:val="none" w:sz="0" w:space="3" w:color="auto"/>
        </w:pBdr>
        <w:ind w:hanging="342"/>
        <w:rPr>
          <w:rFonts w:ascii="Cambria" w:eastAsia="Cambria" w:hAnsi="Cambria" w:cs="Cambria"/>
          <w:b/>
          <w:bCs/>
        </w:rPr>
      </w:pPr>
      <w:r>
        <w:rPr>
          <w:rFonts w:ascii="Cambria" w:eastAsia="Cambria" w:hAnsi="Cambria" w:cs="Cambria"/>
          <w:b/>
          <w:bCs/>
          <w:sz w:val="22"/>
          <w:szCs w:val="22"/>
        </w:rPr>
        <w:t>Q:</w:t>
      </w:r>
      <w:r>
        <w:rPr>
          <w:rFonts w:ascii="Cambria" w:eastAsia="Cambria" w:hAnsi="Cambria" w:cs="Cambria"/>
          <w:sz w:val="22"/>
          <w:szCs w:val="22"/>
        </w:rPr>
        <w:t xml:space="preserve"> </w:t>
      </w:r>
      <w:bookmarkStart w:id="1" w:name="_Hlk535825958"/>
      <w:r>
        <w:rPr>
          <w:rFonts w:ascii="Cambria" w:eastAsia="Cambria" w:hAnsi="Cambria" w:cs="Cambria"/>
          <w:b/>
          <w:bCs/>
          <w:sz w:val="22"/>
          <w:szCs w:val="22"/>
        </w:rPr>
        <w:t>Which students are included in the survey administration?</w:t>
      </w:r>
    </w:p>
    <w:p w14:paraId="0F88AAF0" w14:textId="77777777" w:rsidR="00754EB8" w:rsidRDefault="008E4059">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All students in grades 3-12 who were actively enrolled in an Idaho school during the survey window should participate in the survey administration.</w:t>
      </w:r>
    </w:p>
    <w:p w14:paraId="09127EE0" w14:textId="77777777" w:rsidR="00754EB8" w:rsidRDefault="00754EB8">
      <w:pPr>
        <w:ind w:left="720"/>
        <w:rPr>
          <w:rFonts w:ascii="Cambria" w:eastAsia="Cambria" w:hAnsi="Cambria" w:cs="Cambria"/>
          <w:sz w:val="22"/>
          <w:szCs w:val="22"/>
        </w:rPr>
      </w:pPr>
    </w:p>
    <w:p w14:paraId="259A0801" w14:textId="77777777" w:rsidR="00754EB8" w:rsidRDefault="008E4059">
      <w:pPr>
        <w:numPr>
          <w:ilvl w:val="0"/>
          <w:numId w:val="4"/>
        </w:numPr>
        <w:pBdr>
          <w:left w:val="none" w:sz="0" w:space="3" w:color="auto"/>
        </w:pBdr>
        <w:ind w:hanging="342"/>
        <w:rPr>
          <w:rFonts w:ascii="Cambria" w:eastAsia="Cambria" w:hAnsi="Cambria" w:cs="Cambria"/>
          <w:b/>
          <w:bCs/>
        </w:rPr>
      </w:pPr>
      <w:r>
        <w:rPr>
          <w:rFonts w:ascii="Cambria" w:eastAsia="Cambria" w:hAnsi="Cambria" w:cs="Cambria"/>
          <w:b/>
          <w:bCs/>
          <w:sz w:val="22"/>
          <w:szCs w:val="22"/>
        </w:rPr>
        <w:t xml:space="preserve">Q: </w:t>
      </w:r>
      <w:r>
        <w:rPr>
          <w:rFonts w:ascii="Cambria" w:eastAsia="Cambria" w:hAnsi="Cambria" w:cs="Cambria"/>
          <w:sz w:val="22"/>
          <w:szCs w:val="22"/>
        </w:rPr>
        <w:t xml:space="preserve"> </w:t>
      </w:r>
      <w:r>
        <w:rPr>
          <w:rFonts w:ascii="Cambria" w:eastAsia="Cambria" w:hAnsi="Cambria" w:cs="Cambria"/>
          <w:b/>
          <w:bCs/>
          <w:sz w:val="22"/>
          <w:szCs w:val="22"/>
        </w:rPr>
        <w:t>How will students access the surveys?</w:t>
      </w:r>
    </w:p>
    <w:p w14:paraId="2131E3C9" w14:textId="77777777" w:rsidR="00754EB8" w:rsidRDefault="008E4059">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survey is administered online to students statewide. Each student will enter his/her unique login credentials to access the survey that was developed for his/her grade level. Idaho district coordinators will provide school coordinators the unique login credentials for each rostered student.</w:t>
      </w:r>
    </w:p>
    <w:p w14:paraId="11FC4C32" w14:textId="77777777" w:rsidR="00754EB8" w:rsidRDefault="00754EB8">
      <w:pPr>
        <w:ind w:left="360"/>
        <w:rPr>
          <w:rFonts w:ascii="Cambria" w:eastAsia="Cambria" w:hAnsi="Cambria" w:cs="Cambria"/>
          <w:sz w:val="22"/>
          <w:szCs w:val="22"/>
        </w:rPr>
      </w:pPr>
    </w:p>
    <w:p w14:paraId="1703DA28" w14:textId="77777777" w:rsidR="00754EB8" w:rsidRDefault="008E4059">
      <w:pPr>
        <w:numPr>
          <w:ilvl w:val="0"/>
          <w:numId w:val="5"/>
        </w:numPr>
        <w:pBdr>
          <w:left w:val="none" w:sz="0" w:space="3" w:color="auto"/>
        </w:pBdr>
        <w:ind w:hanging="342"/>
        <w:rPr>
          <w:rFonts w:ascii="Cambria" w:eastAsia="Cambria" w:hAnsi="Cambria" w:cs="Cambria"/>
          <w:b/>
          <w:bCs/>
        </w:rPr>
      </w:pPr>
      <w:r>
        <w:rPr>
          <w:rFonts w:ascii="Cambria" w:eastAsia="Cambria" w:hAnsi="Cambria" w:cs="Cambria"/>
          <w:b/>
          <w:bCs/>
          <w:sz w:val="22"/>
          <w:szCs w:val="22"/>
        </w:rPr>
        <w:t>Q:</w:t>
      </w:r>
      <w:r>
        <w:rPr>
          <w:rFonts w:ascii="Cambria" w:eastAsia="Cambria" w:hAnsi="Cambria" w:cs="Cambria"/>
          <w:sz w:val="22"/>
          <w:szCs w:val="22"/>
        </w:rPr>
        <w:t xml:space="preserve"> </w:t>
      </w:r>
      <w:r>
        <w:rPr>
          <w:rFonts w:ascii="Cambria" w:eastAsia="Cambria" w:hAnsi="Cambria" w:cs="Cambria"/>
          <w:b/>
          <w:bCs/>
          <w:sz w:val="22"/>
          <w:szCs w:val="22"/>
        </w:rPr>
        <w:t>How long is the survey and will students be asked demographic questions?</w:t>
      </w:r>
    </w:p>
    <w:bookmarkEnd w:id="1"/>
    <w:p w14:paraId="09D4E8A8" w14:textId="4E80AAE1" w:rsidR="00754EB8" w:rsidRDefault="008E4059">
      <w:pPr>
        <w:ind w:left="720"/>
        <w:rPr>
          <w:sz w:val="22"/>
          <w:szCs w:val="22"/>
        </w:rPr>
      </w:pPr>
      <w:r>
        <w:rPr>
          <w:rFonts w:ascii="Cambria" w:eastAsia="Cambria" w:hAnsi="Cambria" w:cs="Cambria"/>
          <w:sz w:val="22"/>
          <w:szCs w:val="22"/>
        </w:rPr>
        <w:t>A: There are 2</w:t>
      </w:r>
      <w:r w:rsidR="009A7574">
        <w:rPr>
          <w:rFonts w:ascii="Cambria" w:eastAsia="Cambria" w:hAnsi="Cambria" w:cs="Cambria"/>
          <w:sz w:val="22"/>
          <w:szCs w:val="22"/>
        </w:rPr>
        <w:t>1</w:t>
      </w:r>
      <w:r>
        <w:rPr>
          <w:rFonts w:ascii="Cambria" w:eastAsia="Cambria" w:hAnsi="Cambria" w:cs="Cambria"/>
          <w:sz w:val="22"/>
          <w:szCs w:val="22"/>
        </w:rPr>
        <w:t xml:space="preserve"> survey questions for students to answer. Students will not be asked any questions related to their gender, race or religion.</w:t>
      </w:r>
    </w:p>
    <w:p w14:paraId="47EE2A61" w14:textId="77777777" w:rsidR="00754EB8" w:rsidRDefault="00754EB8">
      <w:pPr>
        <w:ind w:left="360"/>
        <w:rPr>
          <w:rFonts w:ascii="Cambria" w:eastAsia="Cambria" w:hAnsi="Cambria" w:cs="Cambria"/>
          <w:sz w:val="22"/>
          <w:szCs w:val="22"/>
        </w:rPr>
      </w:pPr>
    </w:p>
    <w:p w14:paraId="16DCB1AB" w14:textId="77777777" w:rsidR="00754EB8" w:rsidRDefault="008E4059">
      <w:pPr>
        <w:numPr>
          <w:ilvl w:val="0"/>
          <w:numId w:val="6"/>
        </w:numPr>
        <w:pBdr>
          <w:left w:val="none" w:sz="0" w:space="3" w:color="auto"/>
        </w:pBdr>
        <w:ind w:hanging="342"/>
        <w:rPr>
          <w:rFonts w:ascii="Cambria" w:eastAsia="Cambria" w:hAnsi="Cambria" w:cs="Cambria"/>
          <w:b/>
          <w:bCs/>
        </w:rPr>
      </w:pPr>
      <w:r>
        <w:rPr>
          <w:rFonts w:ascii="Cambria" w:eastAsia="Cambria" w:hAnsi="Cambria" w:cs="Cambria"/>
          <w:b/>
          <w:bCs/>
          <w:sz w:val="22"/>
          <w:szCs w:val="22"/>
        </w:rPr>
        <w:t>Q:</w:t>
      </w:r>
      <w:r>
        <w:rPr>
          <w:rFonts w:ascii="Cambria" w:eastAsia="Cambria" w:hAnsi="Cambria" w:cs="Cambria"/>
          <w:sz w:val="22"/>
          <w:szCs w:val="22"/>
        </w:rPr>
        <w:t xml:space="preserve">  </w:t>
      </w:r>
      <w:bookmarkStart w:id="2" w:name="_Hlk536195612"/>
      <w:r>
        <w:rPr>
          <w:rFonts w:ascii="Cambria" w:eastAsia="Cambria" w:hAnsi="Cambria" w:cs="Cambria"/>
          <w:b/>
          <w:bCs/>
          <w:sz w:val="22"/>
          <w:szCs w:val="22"/>
        </w:rPr>
        <w:t>Will a transfer or new student have to take a survey?</w:t>
      </w:r>
    </w:p>
    <w:p w14:paraId="2B98AC36" w14:textId="77777777" w:rsidR="00754EB8" w:rsidRDefault="008E4059">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Each student will only take </w:t>
      </w:r>
      <w:r>
        <w:rPr>
          <w:rFonts w:ascii="Cambria" w:eastAsia="Cambria" w:hAnsi="Cambria" w:cs="Cambria"/>
          <w:b/>
          <w:bCs/>
          <w:sz w:val="22"/>
          <w:szCs w:val="22"/>
          <w:u w:val="single"/>
        </w:rPr>
        <w:t>one</w:t>
      </w:r>
      <w:r>
        <w:rPr>
          <w:rFonts w:ascii="Cambria" w:eastAsia="Cambria" w:hAnsi="Cambria" w:cs="Cambria"/>
          <w:sz w:val="22"/>
          <w:szCs w:val="22"/>
        </w:rPr>
        <w:t xml:space="preserve"> student engagement survey, with the exception those students who are dual enrolled (who will see multiple survey options, with each tied to a specific enrollment record). Because this is a statewide survey, if a student transfers from another Idaho school where he or she already has taken the survey during the current administration window, they will not have access to take the survey again. If during the survey administration window, a student transfers from a school outside of the state, or he/she did not previously take this year’s survey while at another school/district within the state, they should take the survey. If this new student does not have access to the survey, he/she should inform their teacher.</w:t>
      </w:r>
    </w:p>
    <w:bookmarkEnd w:id="2"/>
    <w:p w14:paraId="1B136B36" w14:textId="77777777" w:rsidR="00754EB8" w:rsidRDefault="00754EB8">
      <w:pPr>
        <w:ind w:left="360"/>
        <w:rPr>
          <w:rFonts w:ascii="Cambria" w:eastAsia="Cambria" w:hAnsi="Cambria" w:cs="Cambria"/>
          <w:sz w:val="22"/>
          <w:szCs w:val="22"/>
        </w:rPr>
      </w:pPr>
    </w:p>
    <w:p w14:paraId="5304B70E" w14:textId="77777777" w:rsidR="00754EB8" w:rsidRDefault="008E4059">
      <w:pPr>
        <w:numPr>
          <w:ilvl w:val="0"/>
          <w:numId w:val="7"/>
        </w:numPr>
        <w:pBdr>
          <w:left w:val="none" w:sz="0" w:space="3" w:color="auto"/>
        </w:pBdr>
        <w:ind w:hanging="342"/>
        <w:rPr>
          <w:rFonts w:ascii="Cambria" w:eastAsia="Cambria" w:hAnsi="Cambria" w:cs="Cambria"/>
          <w:b/>
          <w:bCs/>
        </w:rPr>
      </w:pPr>
      <w:r>
        <w:rPr>
          <w:rFonts w:ascii="Cambria" w:eastAsia="Cambria" w:hAnsi="Cambria" w:cs="Cambria"/>
          <w:b/>
          <w:bCs/>
          <w:sz w:val="22"/>
          <w:szCs w:val="22"/>
        </w:rPr>
        <w:lastRenderedPageBreak/>
        <w:t xml:space="preserve">Q: </w:t>
      </w:r>
      <w:bookmarkStart w:id="3" w:name="_Hlk535825780"/>
      <w:r>
        <w:rPr>
          <w:rFonts w:ascii="Cambria" w:eastAsia="Cambria" w:hAnsi="Cambria" w:cs="Cambria"/>
          <w:b/>
          <w:bCs/>
          <w:sz w:val="22"/>
          <w:szCs w:val="22"/>
        </w:rPr>
        <w:t>Who do I contact with additional questions related to Idaho Student Engagement Survey?</w:t>
      </w:r>
    </w:p>
    <w:p w14:paraId="76EF7604" w14:textId="77777777" w:rsidR="00754EB8" w:rsidRDefault="008E4059">
      <w:pPr>
        <w:ind w:left="360" w:firstLine="36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Please contact the school or district the student attends.</w:t>
      </w:r>
    </w:p>
    <w:p w14:paraId="5B8F60CD" w14:textId="77777777" w:rsidR="00754EB8" w:rsidRDefault="00754EB8">
      <w:pPr>
        <w:ind w:left="360"/>
        <w:rPr>
          <w:rFonts w:ascii="Cambria" w:eastAsia="Cambria" w:hAnsi="Cambria" w:cs="Cambria"/>
          <w:b/>
          <w:bCs/>
          <w:sz w:val="22"/>
          <w:szCs w:val="22"/>
        </w:rPr>
      </w:pPr>
    </w:p>
    <w:p w14:paraId="2681814D" w14:textId="6A7C3B63" w:rsidR="00754EB8" w:rsidRDefault="008E4059">
      <w:pPr>
        <w:numPr>
          <w:ilvl w:val="0"/>
          <w:numId w:val="8"/>
        </w:numPr>
        <w:pBdr>
          <w:left w:val="none" w:sz="0" w:space="3" w:color="auto"/>
        </w:pBdr>
        <w:ind w:hanging="342"/>
        <w:rPr>
          <w:rFonts w:ascii="Cambria" w:eastAsia="Cambria" w:hAnsi="Cambria" w:cs="Cambria"/>
          <w:b/>
          <w:bCs/>
        </w:rPr>
      </w:pPr>
      <w:r>
        <w:rPr>
          <w:rFonts w:ascii="Cambria" w:eastAsia="Cambria" w:hAnsi="Cambria" w:cs="Cambria"/>
          <w:b/>
          <w:bCs/>
          <w:sz w:val="22"/>
          <w:szCs w:val="22"/>
        </w:rPr>
        <w:t>Q: Who do I contact with inquiries about the survey system or student engagement surveys in general?</w:t>
      </w:r>
      <w:r>
        <w:rPr>
          <w:rFonts w:ascii="Cambria" w:eastAsia="Cambria" w:hAnsi="Cambria" w:cs="Cambria"/>
          <w:b/>
          <w:bCs/>
          <w:sz w:val="22"/>
          <w:szCs w:val="22"/>
        </w:rPr>
        <w:br/>
        <w:t>A:</w:t>
      </w:r>
      <w:r>
        <w:rPr>
          <w:rFonts w:ascii="Cambria" w:eastAsia="Cambria" w:hAnsi="Cambria" w:cs="Cambria"/>
          <w:sz w:val="22"/>
          <w:szCs w:val="22"/>
        </w:rPr>
        <w:t xml:space="preserve"> Please contact the Cognia Help Desk: </w:t>
      </w:r>
      <w:hyperlink r:id="rId8" w:history="1">
        <w:r w:rsidR="00976C7C" w:rsidRPr="00F94CA3">
          <w:rPr>
            <w:rStyle w:val="Hyperlink"/>
            <w:rFonts w:ascii="Cambria" w:eastAsia="Cambria" w:hAnsi="Cambria" w:cs="Cambria"/>
            <w:sz w:val="22"/>
            <w:szCs w:val="22"/>
          </w:rPr>
          <w:t>clientcare@cognia.org</w:t>
        </w:r>
      </w:hyperlink>
      <w:r>
        <w:rPr>
          <w:rFonts w:ascii="Cambria" w:eastAsia="Cambria" w:hAnsi="Cambria" w:cs="Cambria"/>
          <w:sz w:val="22"/>
          <w:szCs w:val="22"/>
        </w:rPr>
        <w:t xml:space="preserve"> or 888-413-3669.</w:t>
      </w:r>
      <w:bookmarkEnd w:id="3"/>
    </w:p>
    <w:p w14:paraId="514A1EDE" w14:textId="77777777" w:rsidR="00754EB8" w:rsidRDefault="00754EB8">
      <w:pPr>
        <w:ind w:left="360" w:hanging="360"/>
        <w:rPr>
          <w:rFonts w:ascii="Cambria" w:eastAsia="Cambria" w:hAnsi="Cambria" w:cs="Cambria"/>
          <w:sz w:val="22"/>
          <w:szCs w:val="22"/>
        </w:rPr>
      </w:pPr>
    </w:p>
    <w:p w14:paraId="3A867CB1" w14:textId="77777777" w:rsidR="00754EB8" w:rsidRDefault="00754EB8">
      <w:pPr>
        <w:rPr>
          <w:rFonts w:ascii="Cambria" w:eastAsia="Cambria" w:hAnsi="Cambria" w:cs="Cambria"/>
        </w:rPr>
      </w:pPr>
    </w:p>
    <w:sectPr w:rsidR="00754EB8">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4B0C" w14:textId="77777777" w:rsidR="008E4059" w:rsidRDefault="008E4059">
      <w:r>
        <w:separator/>
      </w:r>
    </w:p>
  </w:endnote>
  <w:endnote w:type="continuationSeparator" w:id="0">
    <w:p w14:paraId="22E15C8A" w14:textId="77777777" w:rsidR="008E4059" w:rsidRDefault="008E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88D7" w14:textId="254BBA32" w:rsidR="00754EB8" w:rsidRDefault="008E4059">
    <w:pPr>
      <w:rPr>
        <w:sz w:val="20"/>
        <w:szCs w:val="20"/>
      </w:rPr>
    </w:pPr>
    <w:r>
      <w:rPr>
        <w:sz w:val="20"/>
        <w:szCs w:val="20"/>
      </w:rPr>
      <w:t xml:space="preserve">Updated: </w:t>
    </w:r>
    <w:r w:rsidR="009A7574">
      <w:rPr>
        <w:sz w:val="20"/>
        <w:szCs w:val="20"/>
      </w:rPr>
      <w:t>9</w:t>
    </w:r>
    <w:r w:rsidR="00E84821">
      <w:rPr>
        <w:sz w:val="20"/>
        <w:szCs w:val="20"/>
      </w:rPr>
      <w:t>/</w:t>
    </w:r>
    <w:r w:rsidR="00976C7C">
      <w:rPr>
        <w:sz w:val="20"/>
        <w:szCs w:val="20"/>
      </w:rPr>
      <w:t>2</w:t>
    </w:r>
    <w:r w:rsidR="009A7574">
      <w:rPr>
        <w:sz w:val="20"/>
        <w:szCs w:val="20"/>
      </w:rPr>
      <w:t>0</w:t>
    </w:r>
    <w:r>
      <w:rPr>
        <w:sz w:val="20"/>
        <w:szCs w:val="20"/>
      </w:rPr>
      <w:t>/</w:t>
    </w:r>
    <w:r w:rsidR="000E7316">
      <w:rPr>
        <w:sz w:val="20"/>
        <w:szCs w:val="20"/>
      </w:rPr>
      <w:t>2</w:t>
    </w:r>
    <w:r w:rsidR="009A7574">
      <w:rPr>
        <w:sz w:val="20"/>
        <w:szCs w:val="20"/>
      </w:rPr>
      <w:t>2</w:t>
    </w:r>
  </w:p>
  <w:p w14:paraId="2F6C4173" w14:textId="77777777" w:rsidR="00754EB8" w:rsidRDefault="00754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9734" w14:textId="77777777" w:rsidR="008E4059" w:rsidRDefault="008E4059">
      <w:r>
        <w:separator/>
      </w:r>
    </w:p>
  </w:footnote>
  <w:footnote w:type="continuationSeparator" w:id="0">
    <w:p w14:paraId="39F8EC2E" w14:textId="77777777" w:rsidR="008E4059" w:rsidRDefault="008E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CC17" w14:textId="77777777" w:rsidR="00754EB8" w:rsidRDefault="008E4059">
    <w:pPr>
      <w:jc w:val="center"/>
    </w:pPr>
    <w:r>
      <w:rPr>
        <w:noProof/>
      </w:rPr>
      <w:drawing>
        <wp:inline distT="0" distB="0" distL="0" distR="0" wp14:anchorId="26427471" wp14:editId="34959021">
          <wp:extent cx="679676" cy="6858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Picture 10000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676" cy="685800"/>
                  </a:xfrm>
                  <a:prstGeom prst="rect">
                    <a:avLst/>
                  </a:prstGeom>
                </pic:spPr>
              </pic:pic>
            </a:graphicData>
          </a:graphic>
        </wp:inline>
      </w:drawing>
    </w:r>
    <w:r>
      <w:t xml:space="preserve">     </w:t>
    </w:r>
    <w:r>
      <w:rPr>
        <w:noProof/>
        <w:color w:val="0000EE"/>
      </w:rPr>
      <w:drawing>
        <wp:inline distT="0" distB="0" distL="0" distR="0" wp14:anchorId="05A18297" wp14:editId="7C71C8C5">
          <wp:extent cx="1438275" cy="523875"/>
          <wp:effectExtent l="0" t="0" r="0" b="0"/>
          <wp:docPr id="100002" name="Picture 100002">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73395" name=""/>
                  <pic:cNvPicPr>
                    <a:picLocks noChangeAspect="1"/>
                  </pic:cNvPicPr>
                </pic:nvPicPr>
                <pic:blipFill rotWithShape="1">
                  <a:blip r:embed="rId3"/>
                  <a:srcRect l="47569" t="-14584"/>
                  <a:stretch/>
                </pic:blipFill>
                <pic:spPr bwMode="auto">
                  <a:xfrm>
                    <a:off x="0" y="0"/>
                    <a:ext cx="1438275" cy="5238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9716834">
    <w:abstractNumId w:val="0"/>
  </w:num>
  <w:num w:numId="2" w16cid:durableId="869342747">
    <w:abstractNumId w:val="1"/>
  </w:num>
  <w:num w:numId="3" w16cid:durableId="517089221">
    <w:abstractNumId w:val="2"/>
  </w:num>
  <w:num w:numId="4" w16cid:durableId="1956909272">
    <w:abstractNumId w:val="3"/>
  </w:num>
  <w:num w:numId="5" w16cid:durableId="494957127">
    <w:abstractNumId w:val="4"/>
  </w:num>
  <w:num w:numId="6" w16cid:durableId="317005151">
    <w:abstractNumId w:val="5"/>
  </w:num>
  <w:num w:numId="7" w16cid:durableId="611665603">
    <w:abstractNumId w:val="6"/>
  </w:num>
  <w:num w:numId="8" w16cid:durableId="166755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4EB8"/>
    <w:rsid w:val="000219DE"/>
    <w:rsid w:val="000E7316"/>
    <w:rsid w:val="001A2A21"/>
    <w:rsid w:val="00754EB8"/>
    <w:rsid w:val="008E4059"/>
    <w:rsid w:val="00976C7C"/>
    <w:rsid w:val="009A7574"/>
    <w:rsid w:val="00E8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D20F"/>
  <w15:docId w15:val="{106320C1-717E-4138-B335-6F1CDBB6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21"/>
    <w:pPr>
      <w:tabs>
        <w:tab w:val="center" w:pos="4680"/>
        <w:tab w:val="right" w:pos="9360"/>
      </w:tabs>
    </w:pPr>
  </w:style>
  <w:style w:type="character" w:customStyle="1" w:styleId="HeaderChar">
    <w:name w:val="Header Char"/>
    <w:basedOn w:val="DefaultParagraphFont"/>
    <w:link w:val="Header"/>
    <w:uiPriority w:val="99"/>
    <w:rsid w:val="00E84821"/>
    <w:rPr>
      <w:sz w:val="24"/>
      <w:szCs w:val="24"/>
    </w:rPr>
  </w:style>
  <w:style w:type="paragraph" w:styleId="Footer">
    <w:name w:val="footer"/>
    <w:basedOn w:val="Normal"/>
    <w:link w:val="FooterChar"/>
    <w:uiPriority w:val="99"/>
    <w:unhideWhenUsed/>
    <w:rsid w:val="00E84821"/>
    <w:pPr>
      <w:tabs>
        <w:tab w:val="center" w:pos="4680"/>
        <w:tab w:val="right" w:pos="9360"/>
      </w:tabs>
    </w:pPr>
  </w:style>
  <w:style w:type="character" w:customStyle="1" w:styleId="FooterChar">
    <w:name w:val="Footer Char"/>
    <w:basedOn w:val="DefaultParagraphFont"/>
    <w:link w:val="Footer"/>
    <w:uiPriority w:val="99"/>
    <w:rsid w:val="00E84821"/>
    <w:rPr>
      <w:sz w:val="24"/>
      <w:szCs w:val="24"/>
    </w:rPr>
  </w:style>
  <w:style w:type="character" w:styleId="Hyperlink">
    <w:name w:val="Hyperlink"/>
    <w:basedOn w:val="DefaultParagraphFont"/>
    <w:uiPriority w:val="99"/>
    <w:unhideWhenUsed/>
    <w:rsid w:val="00976C7C"/>
    <w:rPr>
      <w:color w:val="0563C1" w:themeColor="hyperlink"/>
      <w:u w:val="single"/>
    </w:rPr>
  </w:style>
  <w:style w:type="character" w:styleId="UnresolvedMention">
    <w:name w:val="Unresolved Mention"/>
    <w:basedOn w:val="DefaultParagraphFont"/>
    <w:uiPriority w:val="99"/>
    <w:semiHidden/>
    <w:unhideWhenUsed/>
    <w:rsid w:val="00976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ientcare@cognia.org" TargetMode="External"/><Relationship Id="rId3" Type="http://schemas.openxmlformats.org/officeDocument/2006/relationships/settings" Target="settings.xml"/><Relationship Id="rId7" Type="http://schemas.openxmlformats.org/officeDocument/2006/relationships/hyperlink" Target="https://www.sde.idaho.gov/assessment/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gni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6</cp:revision>
  <dcterms:created xsi:type="dcterms:W3CDTF">2019-11-07T13:08:00Z</dcterms:created>
  <dcterms:modified xsi:type="dcterms:W3CDTF">2022-09-20T12:59:00Z</dcterms:modified>
</cp:coreProperties>
</file>